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20F7" w14:textId="1FC80924" w:rsidR="001165B5" w:rsidRPr="001165B5" w:rsidRDefault="001165B5" w:rsidP="001165B5">
      <w:pPr>
        <w:widowControl/>
        <w:wordWrap/>
        <w:autoSpaceDE/>
        <w:autoSpaceDN/>
        <w:jc w:val="center"/>
        <w:rPr>
          <w:b/>
          <w:bCs/>
          <w:color w:val="221679"/>
          <w:sz w:val="24"/>
          <w:szCs w:val="32"/>
        </w:rPr>
      </w:pPr>
      <w:r w:rsidRPr="001165B5">
        <w:rPr>
          <w:b/>
          <w:bCs/>
          <w:color w:val="221679"/>
          <w:sz w:val="24"/>
          <w:szCs w:val="32"/>
        </w:rPr>
        <w:t>Guidelines and Samples for Abstracts and Posters</w:t>
      </w:r>
    </w:p>
    <w:p w14:paraId="652562AB" w14:textId="77777777" w:rsidR="001165B5" w:rsidRPr="001165B5" w:rsidRDefault="001165B5" w:rsidP="001165B5">
      <w:pPr>
        <w:widowControl/>
        <w:wordWrap/>
        <w:autoSpaceDE/>
        <w:autoSpaceDN/>
        <w:rPr>
          <w:b/>
          <w:bCs/>
          <w:color w:val="221679"/>
          <w:sz w:val="24"/>
          <w:szCs w:val="32"/>
        </w:rPr>
      </w:pPr>
    </w:p>
    <w:p w14:paraId="66472A23" w14:textId="77777777" w:rsidR="001165B5" w:rsidRPr="001165B5" w:rsidRDefault="001165B5" w:rsidP="001165B5">
      <w:pPr>
        <w:widowControl/>
        <w:wordWrap/>
        <w:autoSpaceDE/>
        <w:autoSpaceDN/>
        <w:rPr>
          <w:b/>
          <w:bCs/>
          <w:sz w:val="24"/>
          <w:szCs w:val="32"/>
        </w:rPr>
      </w:pPr>
      <w:r w:rsidRPr="001165B5">
        <w:rPr>
          <w:b/>
          <w:bCs/>
          <w:sz w:val="24"/>
          <w:szCs w:val="32"/>
        </w:rPr>
        <w:t>This Guideline consists of 5 pages including this cover.</w:t>
      </w:r>
    </w:p>
    <w:p w14:paraId="53286FC2" w14:textId="5FB9E591" w:rsidR="001165B5" w:rsidRPr="001165B5" w:rsidRDefault="001165B5" w:rsidP="001165B5">
      <w:pPr>
        <w:pStyle w:val="a3"/>
        <w:widowControl/>
        <w:numPr>
          <w:ilvl w:val="0"/>
          <w:numId w:val="1"/>
        </w:numPr>
        <w:wordWrap/>
        <w:autoSpaceDE/>
        <w:autoSpaceDN/>
        <w:ind w:leftChars="0"/>
        <w:rPr>
          <w:b/>
          <w:bCs/>
          <w:sz w:val="24"/>
          <w:szCs w:val="32"/>
        </w:rPr>
      </w:pPr>
      <w:r w:rsidRPr="001165B5">
        <w:rPr>
          <w:b/>
          <w:bCs/>
          <w:sz w:val="24"/>
          <w:szCs w:val="32"/>
        </w:rPr>
        <w:t>Guideline for Abstracts</w:t>
      </w:r>
    </w:p>
    <w:p w14:paraId="515446A8" w14:textId="5DE165C4" w:rsidR="001165B5" w:rsidRPr="001165B5" w:rsidRDefault="001165B5" w:rsidP="001165B5">
      <w:pPr>
        <w:pStyle w:val="a3"/>
        <w:widowControl/>
        <w:numPr>
          <w:ilvl w:val="0"/>
          <w:numId w:val="1"/>
        </w:numPr>
        <w:wordWrap/>
        <w:autoSpaceDE/>
        <w:autoSpaceDN/>
        <w:ind w:leftChars="0"/>
        <w:rPr>
          <w:b/>
          <w:bCs/>
          <w:sz w:val="24"/>
          <w:szCs w:val="32"/>
        </w:rPr>
      </w:pPr>
      <w:r w:rsidRPr="001165B5">
        <w:rPr>
          <w:b/>
          <w:bCs/>
          <w:sz w:val="24"/>
          <w:szCs w:val="32"/>
        </w:rPr>
        <w:t>Sample Abstract 1</w:t>
      </w:r>
    </w:p>
    <w:p w14:paraId="29278B6D" w14:textId="388C60D7" w:rsidR="001165B5" w:rsidRPr="001165B5" w:rsidRDefault="001165B5" w:rsidP="001165B5">
      <w:pPr>
        <w:pStyle w:val="a3"/>
        <w:widowControl/>
        <w:numPr>
          <w:ilvl w:val="0"/>
          <w:numId w:val="1"/>
        </w:numPr>
        <w:wordWrap/>
        <w:autoSpaceDE/>
        <w:autoSpaceDN/>
        <w:ind w:leftChars="0"/>
        <w:rPr>
          <w:b/>
          <w:bCs/>
          <w:sz w:val="24"/>
          <w:szCs w:val="32"/>
        </w:rPr>
      </w:pPr>
      <w:r w:rsidRPr="001165B5">
        <w:rPr>
          <w:b/>
          <w:bCs/>
          <w:sz w:val="24"/>
          <w:szCs w:val="32"/>
        </w:rPr>
        <w:t>Sample Abstract 2</w:t>
      </w:r>
    </w:p>
    <w:p w14:paraId="6D1C99C1" w14:textId="50848CBF" w:rsidR="001165B5" w:rsidRPr="001165B5" w:rsidRDefault="001165B5" w:rsidP="001165B5">
      <w:pPr>
        <w:pStyle w:val="a3"/>
        <w:widowControl/>
        <w:numPr>
          <w:ilvl w:val="0"/>
          <w:numId w:val="1"/>
        </w:numPr>
        <w:wordWrap/>
        <w:autoSpaceDE/>
        <w:autoSpaceDN/>
        <w:ind w:leftChars="0"/>
        <w:rPr>
          <w:b/>
          <w:bCs/>
          <w:sz w:val="24"/>
          <w:szCs w:val="32"/>
        </w:rPr>
      </w:pPr>
      <w:r w:rsidRPr="001165B5">
        <w:rPr>
          <w:b/>
          <w:bCs/>
          <w:sz w:val="24"/>
          <w:szCs w:val="32"/>
        </w:rPr>
        <w:t>Guideline for Posters</w:t>
      </w:r>
    </w:p>
    <w:p w14:paraId="73E00A60" w14:textId="7D43740D" w:rsidR="001165B5" w:rsidRDefault="001165B5" w:rsidP="001165B5">
      <w:pPr>
        <w:widowControl/>
        <w:wordWrap/>
        <w:autoSpaceDE/>
        <w:autoSpaceDN/>
        <w:rPr>
          <w:b/>
          <w:bCs/>
          <w:color w:val="221679"/>
          <w:sz w:val="24"/>
          <w:szCs w:val="32"/>
        </w:rPr>
      </w:pPr>
      <w:r w:rsidRPr="001165B5">
        <w:rPr>
          <w:b/>
          <w:bCs/>
          <w:color w:val="221679"/>
          <w:sz w:val="24"/>
          <w:szCs w:val="32"/>
        </w:rPr>
        <w:t> </w:t>
      </w:r>
    </w:p>
    <w:p w14:paraId="1EBC9CB1" w14:textId="77777777" w:rsidR="001165B5" w:rsidRDefault="001165B5">
      <w:pPr>
        <w:widowControl/>
        <w:wordWrap/>
        <w:autoSpaceDE/>
        <w:autoSpaceDN/>
        <w:rPr>
          <w:b/>
          <w:bCs/>
          <w:color w:val="221679"/>
          <w:sz w:val="24"/>
          <w:szCs w:val="32"/>
        </w:rPr>
      </w:pPr>
      <w:r>
        <w:rPr>
          <w:b/>
          <w:bCs/>
          <w:color w:val="221679"/>
          <w:sz w:val="24"/>
          <w:szCs w:val="32"/>
        </w:rPr>
        <w:br w:type="page"/>
      </w:r>
    </w:p>
    <w:p w14:paraId="7FC8010F" w14:textId="77777777" w:rsidR="001165B5" w:rsidRPr="001165B5" w:rsidRDefault="001165B5" w:rsidP="001165B5">
      <w:pPr>
        <w:rPr>
          <w:b/>
          <w:bCs/>
          <w:color w:val="221679"/>
          <w:sz w:val="24"/>
          <w:szCs w:val="32"/>
        </w:rPr>
      </w:pPr>
      <w:r w:rsidRPr="001165B5">
        <w:rPr>
          <w:b/>
          <w:bCs/>
          <w:color w:val="221679"/>
          <w:sz w:val="24"/>
          <w:szCs w:val="32"/>
        </w:rPr>
        <w:lastRenderedPageBreak/>
        <w:t>Guideline for Abstracts</w:t>
      </w:r>
    </w:p>
    <w:p w14:paraId="36DD8979" w14:textId="77777777" w:rsidR="001165B5" w:rsidRPr="001165B5" w:rsidRDefault="001165B5" w:rsidP="001165B5">
      <w:pPr>
        <w:rPr>
          <w:rFonts w:ascii="Times New Roman" w:hAnsi="Times New Roman" w:cs="Times New Roman"/>
          <w:szCs w:val="20"/>
        </w:rPr>
      </w:pPr>
    </w:p>
    <w:p w14:paraId="6BEFA585" w14:textId="247177A6" w:rsidR="001165B5" w:rsidRPr="001165B5" w:rsidRDefault="001165B5" w:rsidP="001165B5">
      <w:pPr>
        <w:spacing w:line="360" w:lineRule="auto"/>
        <w:jc w:val="center"/>
        <w:rPr>
          <w:rFonts w:ascii="Times New Roman" w:hAnsi="Times New Roman" w:cs="Times New Roman"/>
          <w:b/>
          <w:bCs/>
          <w:sz w:val="22"/>
        </w:rPr>
      </w:pPr>
      <w:r w:rsidRPr="001165B5">
        <w:rPr>
          <w:rFonts w:ascii="Times New Roman" w:hAnsi="Times New Roman" w:cs="Times New Roman"/>
          <w:b/>
          <w:bCs/>
          <w:sz w:val="22"/>
        </w:rPr>
        <w:t>Abstract Title (Times New Roman, bold, 1</w:t>
      </w:r>
      <w:r w:rsidRPr="001165B5">
        <w:rPr>
          <w:rFonts w:ascii="Times New Roman" w:hAnsi="Times New Roman" w:cs="Times New Roman"/>
          <w:b/>
          <w:bCs/>
          <w:sz w:val="22"/>
        </w:rPr>
        <w:t>1</w:t>
      </w:r>
      <w:r w:rsidRPr="001165B5">
        <w:rPr>
          <w:rFonts w:ascii="Times New Roman" w:hAnsi="Times New Roman" w:cs="Times New Roman"/>
          <w:b/>
          <w:bCs/>
          <w:sz w:val="22"/>
        </w:rPr>
        <w:t xml:space="preserve"> pt. font)</w:t>
      </w:r>
    </w:p>
    <w:p w14:paraId="63ADD2DB" w14:textId="77777777" w:rsidR="001165B5" w:rsidRPr="001165B5" w:rsidRDefault="001165B5" w:rsidP="001165B5">
      <w:pPr>
        <w:spacing w:line="360" w:lineRule="auto"/>
        <w:jc w:val="center"/>
        <w:rPr>
          <w:rFonts w:ascii="Times New Roman" w:hAnsi="Times New Roman" w:cs="Times New Roman"/>
          <w:sz w:val="22"/>
        </w:rPr>
      </w:pPr>
      <w:r w:rsidRPr="001165B5">
        <w:rPr>
          <w:rFonts w:ascii="Times New Roman" w:hAnsi="Times New Roman" w:cs="Times New Roman"/>
          <w:sz w:val="22"/>
        </w:rPr>
        <w:t>(Space)</w:t>
      </w:r>
    </w:p>
    <w:p w14:paraId="1E7EF8FF" w14:textId="3264977B" w:rsidR="001165B5" w:rsidRPr="001165B5" w:rsidRDefault="001165B5" w:rsidP="001165B5">
      <w:pPr>
        <w:spacing w:line="360" w:lineRule="auto"/>
        <w:jc w:val="center"/>
        <w:rPr>
          <w:rFonts w:ascii="Times New Roman" w:hAnsi="Times New Roman" w:cs="Times New Roman"/>
          <w:sz w:val="22"/>
        </w:rPr>
      </w:pPr>
      <w:r w:rsidRPr="001165B5">
        <w:rPr>
          <w:rFonts w:ascii="Times New Roman" w:hAnsi="Times New Roman" w:cs="Times New Roman"/>
          <w:sz w:val="22"/>
        </w:rPr>
        <w:t>Author Names (Times New Roman, 1</w:t>
      </w:r>
      <w:r>
        <w:rPr>
          <w:rFonts w:ascii="Times New Roman" w:hAnsi="Times New Roman" w:cs="Times New Roman"/>
          <w:sz w:val="22"/>
        </w:rPr>
        <w:t>1</w:t>
      </w:r>
      <w:r w:rsidRPr="001165B5">
        <w:rPr>
          <w:rFonts w:ascii="Times New Roman" w:hAnsi="Times New Roman" w:cs="Times New Roman"/>
          <w:sz w:val="22"/>
        </w:rPr>
        <w:t xml:space="preserve"> pt. font: First Name Initial Surname)</w:t>
      </w:r>
    </w:p>
    <w:p w14:paraId="08231586" w14:textId="77777777" w:rsidR="001165B5" w:rsidRPr="001165B5" w:rsidRDefault="001165B5" w:rsidP="001165B5">
      <w:pPr>
        <w:spacing w:line="360" w:lineRule="auto"/>
        <w:jc w:val="center"/>
        <w:rPr>
          <w:rFonts w:ascii="Times New Roman" w:hAnsi="Times New Roman" w:cs="Times New Roman"/>
          <w:sz w:val="22"/>
        </w:rPr>
      </w:pPr>
      <w:r w:rsidRPr="001165B5">
        <w:rPr>
          <w:rFonts w:ascii="Times New Roman" w:hAnsi="Times New Roman" w:cs="Times New Roman"/>
          <w:sz w:val="22"/>
        </w:rPr>
        <w:t>(Space)</w:t>
      </w:r>
    </w:p>
    <w:p w14:paraId="44FD62B6" w14:textId="16AC687A" w:rsidR="001165B5" w:rsidRPr="001165B5" w:rsidRDefault="001165B5" w:rsidP="001165B5">
      <w:pPr>
        <w:spacing w:line="360" w:lineRule="auto"/>
        <w:jc w:val="center"/>
        <w:rPr>
          <w:rFonts w:ascii="Times New Roman" w:hAnsi="Times New Roman" w:cs="Times New Roman"/>
          <w:sz w:val="22"/>
        </w:rPr>
      </w:pPr>
      <w:r w:rsidRPr="001165B5">
        <w:rPr>
          <w:rFonts w:ascii="Times New Roman" w:hAnsi="Times New Roman" w:cs="Times New Roman"/>
          <w:sz w:val="22"/>
        </w:rPr>
        <w:t>Affiliation (Times New Roman, italics,1</w:t>
      </w:r>
      <w:r>
        <w:rPr>
          <w:rFonts w:ascii="Times New Roman" w:hAnsi="Times New Roman" w:cs="Times New Roman"/>
          <w:sz w:val="22"/>
        </w:rPr>
        <w:t>1</w:t>
      </w:r>
      <w:r w:rsidRPr="001165B5">
        <w:rPr>
          <w:rFonts w:ascii="Times New Roman" w:hAnsi="Times New Roman" w:cs="Times New Roman"/>
          <w:sz w:val="22"/>
        </w:rPr>
        <w:t xml:space="preserve"> pt., with e-mail of corresponding author)</w:t>
      </w:r>
    </w:p>
    <w:p w14:paraId="47C0C053" w14:textId="77777777" w:rsidR="001165B5" w:rsidRPr="001165B5" w:rsidRDefault="001165B5" w:rsidP="001165B5">
      <w:pPr>
        <w:spacing w:line="360" w:lineRule="auto"/>
        <w:jc w:val="center"/>
        <w:rPr>
          <w:rFonts w:ascii="Times New Roman" w:hAnsi="Times New Roman" w:cs="Times New Roman"/>
          <w:sz w:val="22"/>
        </w:rPr>
      </w:pPr>
      <w:r w:rsidRPr="001165B5">
        <w:rPr>
          <w:rFonts w:ascii="Times New Roman" w:hAnsi="Times New Roman" w:cs="Times New Roman"/>
          <w:sz w:val="22"/>
        </w:rPr>
        <w:t>(Space)</w:t>
      </w:r>
    </w:p>
    <w:p w14:paraId="690AA05B" w14:textId="489F12AF" w:rsidR="001165B5" w:rsidRPr="001165B5" w:rsidRDefault="001165B5" w:rsidP="001165B5">
      <w:pPr>
        <w:spacing w:line="360" w:lineRule="auto"/>
        <w:rPr>
          <w:rFonts w:ascii="Times New Roman" w:hAnsi="Times New Roman" w:cs="Times New Roman"/>
          <w:sz w:val="22"/>
        </w:rPr>
      </w:pPr>
      <w:r w:rsidRPr="001165B5">
        <w:rPr>
          <w:rFonts w:ascii="Times New Roman" w:hAnsi="Times New Roman" w:cs="Times New Roman"/>
          <w:sz w:val="22"/>
        </w:rPr>
        <w:t>Abstract Text (250 words maximum, Justified, Times New Roman, 11 pt. font)</w:t>
      </w:r>
    </w:p>
    <w:p w14:paraId="19371579" w14:textId="77777777" w:rsidR="001165B5" w:rsidRPr="001165B5" w:rsidRDefault="001165B5">
      <w:pPr>
        <w:widowControl/>
        <w:wordWrap/>
        <w:autoSpaceDE/>
        <w:autoSpaceDN/>
        <w:rPr>
          <w:rFonts w:ascii="Times New Roman" w:hAnsi="Times New Roman" w:cs="Times New Roman"/>
          <w:sz w:val="22"/>
        </w:rPr>
      </w:pPr>
      <w:r w:rsidRPr="001165B5">
        <w:rPr>
          <w:rFonts w:ascii="Times New Roman" w:hAnsi="Times New Roman" w:cs="Times New Roman"/>
          <w:sz w:val="22"/>
        </w:rPr>
        <w:br w:type="page"/>
      </w:r>
    </w:p>
    <w:p w14:paraId="00ABD728" w14:textId="57B6C1D6" w:rsidR="007F3109" w:rsidRPr="007F3109" w:rsidRDefault="007F3109" w:rsidP="007F3109">
      <w:pPr>
        <w:rPr>
          <w:b/>
          <w:bCs/>
          <w:color w:val="221679"/>
          <w:sz w:val="24"/>
          <w:szCs w:val="32"/>
        </w:rPr>
      </w:pPr>
      <w:r w:rsidRPr="007F3109">
        <w:rPr>
          <w:b/>
          <w:bCs/>
          <w:color w:val="221679"/>
          <w:sz w:val="24"/>
          <w:szCs w:val="32"/>
        </w:rPr>
        <w:lastRenderedPageBreak/>
        <w:t>Sample Abstract 1</w:t>
      </w:r>
    </w:p>
    <w:p w14:paraId="5B69CCB5" w14:textId="77777777" w:rsidR="007F3109" w:rsidRDefault="007F3109" w:rsidP="007F3109"/>
    <w:p w14:paraId="04DF236B" w14:textId="77777777" w:rsidR="007F3109" w:rsidRPr="007F3109" w:rsidRDefault="007F3109" w:rsidP="007F3109">
      <w:pPr>
        <w:spacing w:line="360" w:lineRule="auto"/>
        <w:jc w:val="center"/>
        <w:rPr>
          <w:rFonts w:ascii="Times New Roman" w:hAnsi="Times New Roman" w:cs="Times New Roman"/>
          <w:b/>
          <w:bCs/>
          <w:sz w:val="22"/>
        </w:rPr>
      </w:pPr>
      <w:r w:rsidRPr="007F3109">
        <w:rPr>
          <w:rFonts w:ascii="Times New Roman" w:hAnsi="Times New Roman" w:cs="Times New Roman"/>
          <w:b/>
          <w:bCs/>
          <w:sz w:val="22"/>
        </w:rPr>
        <w:t>Clubroot in Canadian Canola (</w:t>
      </w:r>
      <w:r w:rsidRPr="007F3109">
        <w:rPr>
          <w:rFonts w:ascii="Times New Roman" w:hAnsi="Times New Roman" w:cs="Times New Roman"/>
          <w:b/>
          <w:bCs/>
          <w:i/>
          <w:iCs/>
          <w:sz w:val="22"/>
        </w:rPr>
        <w:t>Brassica napus</w:t>
      </w:r>
      <w:r w:rsidRPr="007F3109">
        <w:rPr>
          <w:rFonts w:ascii="Times New Roman" w:hAnsi="Times New Roman" w:cs="Times New Roman"/>
          <w:b/>
          <w:bCs/>
          <w:sz w:val="22"/>
        </w:rPr>
        <w:t>)</w:t>
      </w:r>
    </w:p>
    <w:p w14:paraId="7F5E7B10" w14:textId="77777777" w:rsidR="007F3109" w:rsidRPr="007F3109" w:rsidRDefault="007F3109" w:rsidP="007F3109">
      <w:pPr>
        <w:spacing w:line="360" w:lineRule="auto"/>
        <w:jc w:val="center"/>
        <w:rPr>
          <w:rFonts w:ascii="Times New Roman" w:hAnsi="Times New Roman" w:cs="Times New Roman"/>
          <w:sz w:val="22"/>
        </w:rPr>
      </w:pPr>
    </w:p>
    <w:p w14:paraId="66A401AE" w14:textId="322C1B89" w:rsidR="007F3109" w:rsidRPr="007F3109" w:rsidRDefault="007F3109" w:rsidP="007F3109">
      <w:pPr>
        <w:spacing w:line="360" w:lineRule="auto"/>
        <w:jc w:val="center"/>
        <w:rPr>
          <w:rFonts w:ascii="Times New Roman" w:hAnsi="Times New Roman" w:cs="Times New Roman"/>
          <w:sz w:val="22"/>
        </w:rPr>
      </w:pPr>
      <w:proofErr w:type="spellStart"/>
      <w:r w:rsidRPr="007F3109">
        <w:rPr>
          <w:rFonts w:ascii="Times New Roman" w:hAnsi="Times New Roman" w:cs="Times New Roman"/>
          <w:sz w:val="22"/>
        </w:rPr>
        <w:t>Sheau</w:t>
      </w:r>
      <w:proofErr w:type="spellEnd"/>
      <w:r w:rsidRPr="007F3109">
        <w:rPr>
          <w:rFonts w:ascii="Times New Roman" w:hAnsi="Times New Roman" w:cs="Times New Roman"/>
          <w:sz w:val="22"/>
        </w:rPr>
        <w:t>-Fang Hwang and Stephen E. Strelkov*</w:t>
      </w:r>
    </w:p>
    <w:p w14:paraId="3CE16D91" w14:textId="77777777" w:rsidR="007F3109" w:rsidRPr="007F3109" w:rsidRDefault="007F3109" w:rsidP="007F3109">
      <w:pPr>
        <w:spacing w:line="360" w:lineRule="auto"/>
        <w:jc w:val="center"/>
        <w:rPr>
          <w:rFonts w:ascii="Times New Roman" w:hAnsi="Times New Roman" w:cs="Times New Roman"/>
          <w:sz w:val="22"/>
        </w:rPr>
      </w:pPr>
    </w:p>
    <w:p w14:paraId="2F352918" w14:textId="77777777" w:rsidR="007F3109" w:rsidRPr="007F3109" w:rsidRDefault="007F3109" w:rsidP="007F3109">
      <w:pPr>
        <w:spacing w:line="360" w:lineRule="auto"/>
        <w:jc w:val="center"/>
        <w:rPr>
          <w:rFonts w:ascii="Times New Roman" w:hAnsi="Times New Roman" w:cs="Times New Roman"/>
          <w:sz w:val="22"/>
        </w:rPr>
      </w:pPr>
      <w:r w:rsidRPr="007F3109">
        <w:rPr>
          <w:rFonts w:ascii="Times New Roman" w:hAnsi="Times New Roman" w:cs="Times New Roman"/>
          <w:sz w:val="22"/>
        </w:rPr>
        <w:t>Department of Agricultural, Food and Nutritional Science, University of Alberta, Edmonton, Alberta, T6G 2P5 Canada</w:t>
      </w:r>
    </w:p>
    <w:p w14:paraId="25765A42" w14:textId="77777777" w:rsidR="007F3109" w:rsidRPr="007F3109" w:rsidRDefault="007F3109" w:rsidP="007F3109">
      <w:pPr>
        <w:spacing w:line="360" w:lineRule="auto"/>
        <w:jc w:val="center"/>
        <w:rPr>
          <w:rFonts w:ascii="Times New Roman" w:hAnsi="Times New Roman" w:cs="Times New Roman"/>
          <w:sz w:val="22"/>
        </w:rPr>
      </w:pPr>
      <w:r w:rsidRPr="007F3109">
        <w:rPr>
          <w:rFonts w:ascii="Times New Roman" w:hAnsi="Times New Roman" w:cs="Times New Roman"/>
          <w:sz w:val="22"/>
        </w:rPr>
        <w:t>*Email: stephen.strelkov@ualberta.ca</w:t>
      </w:r>
    </w:p>
    <w:p w14:paraId="487155F7" w14:textId="77777777" w:rsidR="007F3109" w:rsidRPr="007F3109" w:rsidRDefault="007F3109" w:rsidP="007F3109">
      <w:pPr>
        <w:spacing w:line="360" w:lineRule="auto"/>
        <w:rPr>
          <w:rFonts w:ascii="Times New Roman" w:hAnsi="Times New Roman" w:cs="Times New Roman"/>
          <w:sz w:val="22"/>
        </w:rPr>
      </w:pPr>
    </w:p>
    <w:p w14:paraId="1BC21422" w14:textId="77C72F5E" w:rsidR="007F3109" w:rsidRDefault="007F3109" w:rsidP="007F3109">
      <w:pPr>
        <w:spacing w:line="360" w:lineRule="auto"/>
      </w:pPr>
      <w:r w:rsidRPr="007F3109">
        <w:rPr>
          <w:rFonts w:ascii="Times New Roman" w:hAnsi="Times New Roman" w:cs="Times New Roman"/>
          <w:sz w:val="22"/>
        </w:rPr>
        <w:t xml:space="preserve">Clubroot, caused by the obligate parasite </w:t>
      </w:r>
      <w:proofErr w:type="spellStart"/>
      <w:r w:rsidRPr="007F3109">
        <w:rPr>
          <w:rFonts w:ascii="Times New Roman" w:hAnsi="Times New Roman" w:cs="Times New Roman"/>
          <w:i/>
          <w:iCs/>
          <w:sz w:val="22"/>
        </w:rPr>
        <w:t>Plasmodiophora</w:t>
      </w:r>
      <w:proofErr w:type="spellEnd"/>
      <w:r w:rsidRPr="007F3109">
        <w:rPr>
          <w:rFonts w:ascii="Times New Roman" w:hAnsi="Times New Roman" w:cs="Times New Roman"/>
          <w:i/>
          <w:iCs/>
          <w:sz w:val="22"/>
        </w:rPr>
        <w:t xml:space="preserve"> </w:t>
      </w:r>
      <w:proofErr w:type="spellStart"/>
      <w:r w:rsidRPr="007F3109">
        <w:rPr>
          <w:rFonts w:ascii="Times New Roman" w:hAnsi="Times New Roman" w:cs="Times New Roman"/>
          <w:i/>
          <w:iCs/>
          <w:sz w:val="22"/>
        </w:rPr>
        <w:t>brassicae</w:t>
      </w:r>
      <w:proofErr w:type="spellEnd"/>
      <w:r w:rsidRPr="007F3109">
        <w:rPr>
          <w:rFonts w:ascii="Times New Roman" w:hAnsi="Times New Roman" w:cs="Times New Roman"/>
          <w:sz w:val="22"/>
        </w:rPr>
        <w:t>, is a major disease of the Brassicaceae family. However, until a decade ago, clubroot had not been reported in Canadian canola (</w:t>
      </w:r>
      <w:r w:rsidRPr="007F3109">
        <w:rPr>
          <w:rFonts w:ascii="Times New Roman" w:hAnsi="Times New Roman" w:cs="Times New Roman"/>
          <w:i/>
          <w:iCs/>
          <w:sz w:val="22"/>
        </w:rPr>
        <w:t>Brassica napus</w:t>
      </w:r>
      <w:r w:rsidRPr="007F3109">
        <w:rPr>
          <w:rFonts w:ascii="Times New Roman" w:hAnsi="Times New Roman" w:cs="Times New Roman"/>
          <w:sz w:val="22"/>
        </w:rPr>
        <w:t xml:space="preserve">), a crop that contributes more than $15 billion annually to Canada’s economy. The identification of clubroot was a major cause for concern and stimulated significant research into this disease. Initially, the outbreak was confined to central Alberta, where 12 clubroot infested fields were identified in 2003. Continued surveying has shown that clubroot is spreading, and as of 2012 there were at least 1,064 fields with confirmed infestations. While most of these fields </w:t>
      </w:r>
      <w:proofErr w:type="gramStart"/>
      <w:r w:rsidRPr="007F3109">
        <w:rPr>
          <w:rFonts w:ascii="Times New Roman" w:hAnsi="Times New Roman" w:cs="Times New Roman"/>
          <w:sz w:val="22"/>
        </w:rPr>
        <w:t>are located in</w:t>
      </w:r>
      <w:proofErr w:type="gramEnd"/>
      <w:r w:rsidRPr="007F3109">
        <w:rPr>
          <w:rFonts w:ascii="Times New Roman" w:hAnsi="Times New Roman" w:cs="Times New Roman"/>
          <w:sz w:val="22"/>
        </w:rPr>
        <w:t xml:space="preserve"> central Alberta, isolated cases of clubroot have also been identified in southern Alberta and the neighboring province of Saskatchewan. </w:t>
      </w:r>
      <w:r w:rsidRPr="007F3109">
        <w:rPr>
          <w:rFonts w:ascii="Times New Roman" w:hAnsi="Times New Roman" w:cs="Times New Roman"/>
          <w:i/>
          <w:iCs/>
          <w:sz w:val="22"/>
        </w:rPr>
        <w:t xml:space="preserve">P. </w:t>
      </w:r>
      <w:proofErr w:type="spellStart"/>
      <w:r w:rsidRPr="007F3109">
        <w:rPr>
          <w:rFonts w:ascii="Times New Roman" w:hAnsi="Times New Roman" w:cs="Times New Roman"/>
          <w:i/>
          <w:iCs/>
          <w:sz w:val="22"/>
        </w:rPr>
        <w:t>brassicae</w:t>
      </w:r>
      <w:proofErr w:type="spellEnd"/>
      <w:r w:rsidRPr="007F3109">
        <w:rPr>
          <w:rFonts w:ascii="Times New Roman" w:hAnsi="Times New Roman" w:cs="Times New Roman"/>
          <w:sz w:val="22"/>
        </w:rPr>
        <w:t xml:space="preserve"> inoculum has also been detected in a few fields in Manitoba. Most of the spread has resulted from the movement of infested soil on farm and other machinery, although other mechanisms of dissemination have also been implicated. Pathotype 3 of </w:t>
      </w:r>
      <w:r w:rsidRPr="007F3109">
        <w:rPr>
          <w:rFonts w:ascii="Times New Roman" w:hAnsi="Times New Roman" w:cs="Times New Roman"/>
          <w:i/>
          <w:iCs/>
          <w:sz w:val="22"/>
        </w:rPr>
        <w:t xml:space="preserve">P. </w:t>
      </w:r>
      <w:proofErr w:type="spellStart"/>
      <w:r w:rsidRPr="007F3109">
        <w:rPr>
          <w:rFonts w:ascii="Times New Roman" w:hAnsi="Times New Roman" w:cs="Times New Roman"/>
          <w:i/>
          <w:iCs/>
          <w:sz w:val="22"/>
        </w:rPr>
        <w:t>brassicae</w:t>
      </w:r>
      <w:proofErr w:type="spellEnd"/>
      <w:r w:rsidRPr="007F3109">
        <w:rPr>
          <w:rFonts w:ascii="Times New Roman" w:hAnsi="Times New Roman" w:cs="Times New Roman"/>
          <w:sz w:val="22"/>
        </w:rPr>
        <w:t xml:space="preserve">, as classified on the differentials of Williams, appears to be predominant on canola. Clubroot management strategies have focused largely on exclusion and sanitation, as well the cropping of clubroot-resistant canola cultivars, </w:t>
      </w:r>
      <w:proofErr w:type="gramStart"/>
      <w:r w:rsidRPr="007F3109">
        <w:rPr>
          <w:rFonts w:ascii="Times New Roman" w:hAnsi="Times New Roman" w:cs="Times New Roman"/>
          <w:sz w:val="22"/>
        </w:rPr>
        <w:t>a number of</w:t>
      </w:r>
      <w:proofErr w:type="gramEnd"/>
      <w:r w:rsidRPr="007F3109">
        <w:rPr>
          <w:rFonts w:ascii="Times New Roman" w:hAnsi="Times New Roman" w:cs="Times New Roman"/>
          <w:sz w:val="22"/>
        </w:rPr>
        <w:t xml:space="preserve"> which have been released since 2009. Genetic resistance will have to be well-managed, however, as the virulence of pathogen populations can shift as a consequence of the selection pressure imposed by the cropping of resistant cultivars.</w:t>
      </w:r>
      <w:r>
        <w:br w:type="page"/>
      </w:r>
    </w:p>
    <w:p w14:paraId="0DF7D3BE" w14:textId="77777777" w:rsidR="007F3109" w:rsidRPr="007F3109" w:rsidRDefault="007F3109" w:rsidP="007F3109">
      <w:pPr>
        <w:rPr>
          <w:b/>
          <w:bCs/>
          <w:color w:val="221679"/>
          <w:sz w:val="24"/>
          <w:szCs w:val="32"/>
        </w:rPr>
      </w:pPr>
      <w:r w:rsidRPr="007F3109">
        <w:rPr>
          <w:b/>
          <w:bCs/>
          <w:color w:val="221679"/>
          <w:sz w:val="24"/>
          <w:szCs w:val="32"/>
        </w:rPr>
        <w:lastRenderedPageBreak/>
        <w:t>Sample Abstract 2</w:t>
      </w:r>
    </w:p>
    <w:p w14:paraId="7782E75A" w14:textId="77777777" w:rsidR="007F3109" w:rsidRDefault="007F3109" w:rsidP="007F3109"/>
    <w:p w14:paraId="73F264E6" w14:textId="40834C7D" w:rsidR="007F3109" w:rsidRPr="007F3109" w:rsidRDefault="007F3109" w:rsidP="007F3109">
      <w:pPr>
        <w:spacing w:line="360" w:lineRule="auto"/>
        <w:jc w:val="center"/>
        <w:rPr>
          <w:rFonts w:ascii="Times New Roman" w:hAnsi="Times New Roman" w:cs="Times New Roman"/>
          <w:b/>
          <w:bCs/>
          <w:sz w:val="22"/>
          <w:szCs w:val="28"/>
        </w:rPr>
      </w:pPr>
      <w:r w:rsidRPr="007F3109">
        <w:rPr>
          <w:rFonts w:ascii="Times New Roman" w:hAnsi="Times New Roman" w:cs="Times New Roman"/>
          <w:b/>
          <w:bCs/>
          <w:sz w:val="22"/>
          <w:szCs w:val="28"/>
        </w:rPr>
        <w:t xml:space="preserve">The Effect of Inoculation </w:t>
      </w:r>
      <w:r w:rsidRPr="007F3109">
        <w:rPr>
          <w:rFonts w:ascii="Times New Roman" w:hAnsi="Times New Roman" w:cs="Times New Roman"/>
          <w:b/>
          <w:bCs/>
          <w:i/>
          <w:iCs/>
          <w:sz w:val="22"/>
          <w:szCs w:val="28"/>
        </w:rPr>
        <w:t xml:space="preserve">Cymbidium </w:t>
      </w:r>
      <w:proofErr w:type="spellStart"/>
      <w:r w:rsidRPr="007F3109">
        <w:rPr>
          <w:rFonts w:ascii="Times New Roman" w:hAnsi="Times New Roman" w:cs="Times New Roman"/>
          <w:b/>
          <w:bCs/>
          <w:i/>
          <w:iCs/>
          <w:sz w:val="22"/>
          <w:szCs w:val="28"/>
        </w:rPr>
        <w:t>kanran</w:t>
      </w:r>
      <w:proofErr w:type="spellEnd"/>
      <w:r w:rsidRPr="007F3109">
        <w:rPr>
          <w:rFonts w:ascii="Times New Roman" w:hAnsi="Times New Roman" w:cs="Times New Roman"/>
          <w:b/>
          <w:bCs/>
          <w:sz w:val="22"/>
          <w:szCs w:val="28"/>
        </w:rPr>
        <w:t xml:space="preserve"> with Six Isolates of Orchid Mycorrhizal Fungi</w:t>
      </w:r>
    </w:p>
    <w:p w14:paraId="3515B97A" w14:textId="77777777" w:rsidR="007F3109" w:rsidRPr="007F3109" w:rsidRDefault="007F3109" w:rsidP="007F3109">
      <w:pPr>
        <w:spacing w:line="360" w:lineRule="auto"/>
        <w:jc w:val="center"/>
        <w:rPr>
          <w:rFonts w:ascii="Times New Roman" w:hAnsi="Times New Roman" w:cs="Times New Roman"/>
          <w:sz w:val="22"/>
          <w:szCs w:val="28"/>
        </w:rPr>
      </w:pPr>
    </w:p>
    <w:p w14:paraId="1D7942C8" w14:textId="77777777" w:rsidR="007F3109" w:rsidRPr="007F3109" w:rsidRDefault="007F3109" w:rsidP="007F3109">
      <w:pPr>
        <w:spacing w:line="360" w:lineRule="auto"/>
        <w:jc w:val="center"/>
        <w:rPr>
          <w:rFonts w:ascii="Times New Roman" w:hAnsi="Times New Roman" w:cs="Times New Roman"/>
          <w:sz w:val="22"/>
          <w:szCs w:val="28"/>
        </w:rPr>
      </w:pPr>
      <w:r w:rsidRPr="007F3109">
        <w:rPr>
          <w:rFonts w:ascii="Times New Roman" w:hAnsi="Times New Roman" w:cs="Times New Roman"/>
          <w:sz w:val="22"/>
          <w:szCs w:val="28"/>
        </w:rPr>
        <w:t>Han-</w:t>
      </w:r>
      <w:proofErr w:type="spellStart"/>
      <w:r w:rsidRPr="007F3109">
        <w:rPr>
          <w:rFonts w:ascii="Times New Roman" w:hAnsi="Times New Roman" w:cs="Times New Roman"/>
          <w:sz w:val="22"/>
          <w:szCs w:val="28"/>
        </w:rPr>
        <w:t>Kyeol</w:t>
      </w:r>
      <w:proofErr w:type="spellEnd"/>
      <w:r w:rsidRPr="007F3109">
        <w:rPr>
          <w:rFonts w:ascii="Times New Roman" w:hAnsi="Times New Roman" w:cs="Times New Roman"/>
          <w:sz w:val="22"/>
          <w:szCs w:val="28"/>
        </w:rPr>
        <w:t xml:space="preserve"> Han</w:t>
      </w:r>
      <w:r w:rsidRPr="00F50E2A">
        <w:rPr>
          <w:rFonts w:ascii="Times New Roman" w:hAnsi="Times New Roman" w:cs="Times New Roman"/>
          <w:sz w:val="22"/>
          <w:szCs w:val="28"/>
          <w:vertAlign w:val="superscript"/>
        </w:rPr>
        <w:t>1</w:t>
      </w:r>
      <w:r w:rsidRPr="007F3109">
        <w:rPr>
          <w:rFonts w:ascii="Times New Roman" w:hAnsi="Times New Roman" w:cs="Times New Roman"/>
          <w:sz w:val="22"/>
          <w:szCs w:val="28"/>
        </w:rPr>
        <w:t>, Yong-Chan Jo</w:t>
      </w:r>
      <w:r w:rsidRPr="00F50E2A">
        <w:rPr>
          <w:rFonts w:ascii="Times New Roman" w:hAnsi="Times New Roman" w:cs="Times New Roman"/>
          <w:sz w:val="22"/>
          <w:szCs w:val="28"/>
          <w:vertAlign w:val="superscript"/>
        </w:rPr>
        <w:t>2</w:t>
      </w:r>
      <w:r w:rsidRPr="007F3109">
        <w:rPr>
          <w:rFonts w:ascii="Times New Roman" w:hAnsi="Times New Roman" w:cs="Times New Roman"/>
          <w:sz w:val="22"/>
          <w:szCs w:val="28"/>
        </w:rPr>
        <w:t xml:space="preserve">, </w:t>
      </w:r>
      <w:proofErr w:type="spellStart"/>
      <w:r w:rsidRPr="007F3109">
        <w:rPr>
          <w:rFonts w:ascii="Times New Roman" w:hAnsi="Times New Roman" w:cs="Times New Roman"/>
          <w:sz w:val="22"/>
          <w:szCs w:val="28"/>
        </w:rPr>
        <w:t>Jaemin</w:t>
      </w:r>
      <w:proofErr w:type="spellEnd"/>
      <w:r w:rsidRPr="007F3109">
        <w:rPr>
          <w:rFonts w:ascii="Times New Roman" w:hAnsi="Times New Roman" w:cs="Times New Roman"/>
          <w:sz w:val="22"/>
          <w:szCs w:val="28"/>
        </w:rPr>
        <w:t xml:space="preserve"> Chung</w:t>
      </w:r>
      <w:r w:rsidRPr="00F50E2A">
        <w:rPr>
          <w:rFonts w:ascii="Times New Roman" w:hAnsi="Times New Roman" w:cs="Times New Roman"/>
          <w:sz w:val="22"/>
          <w:szCs w:val="28"/>
          <w:vertAlign w:val="superscript"/>
        </w:rPr>
        <w:t>2</w:t>
      </w:r>
      <w:r w:rsidRPr="007F3109">
        <w:rPr>
          <w:rFonts w:ascii="Times New Roman" w:hAnsi="Times New Roman" w:cs="Times New Roman"/>
          <w:sz w:val="22"/>
          <w:szCs w:val="28"/>
        </w:rPr>
        <w:t>, and Ahn-</w:t>
      </w:r>
      <w:proofErr w:type="spellStart"/>
      <w:r w:rsidRPr="007F3109">
        <w:rPr>
          <w:rFonts w:ascii="Times New Roman" w:hAnsi="Times New Roman" w:cs="Times New Roman"/>
          <w:sz w:val="22"/>
          <w:szCs w:val="28"/>
        </w:rPr>
        <w:t>Heum</w:t>
      </w:r>
      <w:proofErr w:type="spellEnd"/>
      <w:r w:rsidRPr="007F3109">
        <w:rPr>
          <w:rFonts w:ascii="Times New Roman" w:hAnsi="Times New Roman" w:cs="Times New Roman"/>
          <w:sz w:val="22"/>
          <w:szCs w:val="28"/>
        </w:rPr>
        <w:t xml:space="preserve"> Eom</w:t>
      </w:r>
      <w:r w:rsidRPr="00F50E2A">
        <w:rPr>
          <w:rFonts w:ascii="Times New Roman" w:hAnsi="Times New Roman" w:cs="Times New Roman"/>
          <w:sz w:val="22"/>
          <w:szCs w:val="28"/>
          <w:vertAlign w:val="superscript"/>
        </w:rPr>
        <w:t>1</w:t>
      </w:r>
      <w:r w:rsidRPr="007F3109">
        <w:rPr>
          <w:rFonts w:ascii="Times New Roman" w:hAnsi="Times New Roman" w:cs="Times New Roman"/>
          <w:sz w:val="22"/>
          <w:szCs w:val="28"/>
        </w:rPr>
        <w:t>*</w:t>
      </w:r>
    </w:p>
    <w:p w14:paraId="5003B4BE" w14:textId="77777777" w:rsidR="007F3109" w:rsidRPr="007F3109" w:rsidRDefault="007F3109" w:rsidP="007F3109">
      <w:pPr>
        <w:spacing w:line="360" w:lineRule="auto"/>
        <w:jc w:val="center"/>
        <w:rPr>
          <w:rFonts w:ascii="Times New Roman" w:hAnsi="Times New Roman" w:cs="Times New Roman"/>
          <w:sz w:val="22"/>
          <w:szCs w:val="28"/>
        </w:rPr>
      </w:pPr>
    </w:p>
    <w:p w14:paraId="3939BECE" w14:textId="77777777" w:rsidR="007F3109" w:rsidRPr="007F3109" w:rsidRDefault="007F3109" w:rsidP="007F3109">
      <w:pPr>
        <w:spacing w:line="360" w:lineRule="auto"/>
        <w:jc w:val="center"/>
        <w:rPr>
          <w:rFonts w:ascii="Times New Roman" w:hAnsi="Times New Roman" w:cs="Times New Roman"/>
          <w:sz w:val="22"/>
          <w:szCs w:val="28"/>
        </w:rPr>
      </w:pPr>
      <w:r w:rsidRPr="00F50E2A">
        <w:rPr>
          <w:rFonts w:ascii="Times New Roman" w:hAnsi="Times New Roman" w:cs="Times New Roman"/>
          <w:sz w:val="22"/>
          <w:szCs w:val="28"/>
          <w:vertAlign w:val="superscript"/>
        </w:rPr>
        <w:t>1</w:t>
      </w:r>
      <w:r w:rsidRPr="007F3109">
        <w:rPr>
          <w:rFonts w:ascii="Times New Roman" w:hAnsi="Times New Roman" w:cs="Times New Roman"/>
          <w:sz w:val="22"/>
          <w:szCs w:val="28"/>
        </w:rPr>
        <w:t>Department of Biology, Korea National University of Education</w:t>
      </w:r>
    </w:p>
    <w:p w14:paraId="7759C03F" w14:textId="77777777" w:rsidR="007F3109" w:rsidRPr="007F3109" w:rsidRDefault="007F3109" w:rsidP="007F3109">
      <w:pPr>
        <w:spacing w:line="360" w:lineRule="auto"/>
        <w:jc w:val="center"/>
        <w:rPr>
          <w:rFonts w:ascii="Times New Roman" w:hAnsi="Times New Roman" w:cs="Times New Roman"/>
          <w:sz w:val="22"/>
          <w:szCs w:val="28"/>
        </w:rPr>
      </w:pPr>
      <w:r w:rsidRPr="00F50E2A">
        <w:rPr>
          <w:rFonts w:ascii="Times New Roman" w:hAnsi="Times New Roman" w:cs="Times New Roman"/>
          <w:sz w:val="22"/>
          <w:szCs w:val="28"/>
          <w:vertAlign w:val="superscript"/>
        </w:rPr>
        <w:t>2</w:t>
      </w:r>
      <w:r w:rsidRPr="007F3109">
        <w:rPr>
          <w:rFonts w:ascii="Times New Roman" w:hAnsi="Times New Roman" w:cs="Times New Roman"/>
          <w:sz w:val="22"/>
          <w:szCs w:val="28"/>
        </w:rPr>
        <w:t>Department of Plant Resources Conservation, Korea National Arboretum</w:t>
      </w:r>
    </w:p>
    <w:p w14:paraId="493121CE" w14:textId="77777777" w:rsidR="007F3109" w:rsidRPr="007F3109" w:rsidRDefault="007F3109" w:rsidP="007F3109">
      <w:pPr>
        <w:spacing w:line="360" w:lineRule="auto"/>
        <w:jc w:val="center"/>
        <w:rPr>
          <w:rFonts w:ascii="Times New Roman" w:hAnsi="Times New Roman" w:cs="Times New Roman"/>
          <w:sz w:val="22"/>
          <w:szCs w:val="28"/>
        </w:rPr>
      </w:pPr>
      <w:r w:rsidRPr="007F3109">
        <w:rPr>
          <w:rFonts w:ascii="Times New Roman" w:hAnsi="Times New Roman" w:cs="Times New Roman"/>
          <w:sz w:val="22"/>
          <w:szCs w:val="28"/>
        </w:rPr>
        <w:t>*Email: eomah@knue.ac.kr</w:t>
      </w:r>
    </w:p>
    <w:p w14:paraId="7CEAAB7B" w14:textId="77777777" w:rsidR="007F3109" w:rsidRPr="007F3109" w:rsidRDefault="007F3109" w:rsidP="007F3109">
      <w:pPr>
        <w:spacing w:line="360" w:lineRule="auto"/>
        <w:rPr>
          <w:rFonts w:ascii="Times New Roman" w:hAnsi="Times New Roman" w:cs="Times New Roman"/>
          <w:sz w:val="22"/>
          <w:szCs w:val="28"/>
        </w:rPr>
      </w:pPr>
    </w:p>
    <w:p w14:paraId="0D804AEA" w14:textId="0E904AA1" w:rsidR="00452EDB" w:rsidRDefault="007F3109" w:rsidP="007F3109">
      <w:pPr>
        <w:spacing w:line="360" w:lineRule="auto"/>
        <w:rPr>
          <w:rFonts w:ascii="Times New Roman" w:hAnsi="Times New Roman" w:cs="Times New Roman"/>
          <w:sz w:val="22"/>
          <w:szCs w:val="28"/>
        </w:rPr>
      </w:pPr>
      <w:r w:rsidRPr="007F3109">
        <w:rPr>
          <w:rFonts w:ascii="Times New Roman" w:hAnsi="Times New Roman" w:cs="Times New Roman"/>
          <w:sz w:val="22"/>
          <w:szCs w:val="28"/>
        </w:rPr>
        <w:t xml:space="preserve">Orchid Mycorrhizal Fungi (OMF) has a symbiotic relationship with orchid plants by supplying nutrient like phosphate and nitrogen to orchid. In this study, 70 </w:t>
      </w:r>
      <w:r w:rsidRPr="007F3109">
        <w:rPr>
          <w:rFonts w:ascii="Times New Roman" w:hAnsi="Times New Roman" w:cs="Times New Roman"/>
          <w:i/>
          <w:iCs/>
          <w:sz w:val="22"/>
          <w:szCs w:val="28"/>
        </w:rPr>
        <w:t xml:space="preserve">Cymbidium </w:t>
      </w:r>
      <w:proofErr w:type="spellStart"/>
      <w:r w:rsidRPr="007F3109">
        <w:rPr>
          <w:rFonts w:ascii="Times New Roman" w:hAnsi="Times New Roman" w:cs="Times New Roman"/>
          <w:i/>
          <w:iCs/>
          <w:sz w:val="22"/>
          <w:szCs w:val="28"/>
        </w:rPr>
        <w:t>kanran</w:t>
      </w:r>
      <w:proofErr w:type="spellEnd"/>
      <w:r w:rsidRPr="007F3109">
        <w:rPr>
          <w:rFonts w:ascii="Times New Roman" w:hAnsi="Times New Roman" w:cs="Times New Roman"/>
          <w:sz w:val="22"/>
          <w:szCs w:val="28"/>
        </w:rPr>
        <w:t xml:space="preserve"> were inoculated with 6 isolates of OMF isolated from roots of 5 species of wild orchids. 256 days after cultivating, biomass, dry weight and infection rate of </w:t>
      </w:r>
      <w:r w:rsidRPr="007F3109">
        <w:rPr>
          <w:rFonts w:ascii="Times New Roman" w:hAnsi="Times New Roman" w:cs="Times New Roman"/>
          <w:i/>
          <w:iCs/>
          <w:sz w:val="22"/>
          <w:szCs w:val="28"/>
        </w:rPr>
        <w:t xml:space="preserve">C. </w:t>
      </w:r>
      <w:proofErr w:type="spellStart"/>
      <w:r w:rsidRPr="007F3109">
        <w:rPr>
          <w:rFonts w:ascii="Times New Roman" w:hAnsi="Times New Roman" w:cs="Times New Roman"/>
          <w:i/>
          <w:iCs/>
          <w:sz w:val="22"/>
          <w:szCs w:val="28"/>
        </w:rPr>
        <w:t>kanran</w:t>
      </w:r>
      <w:proofErr w:type="spellEnd"/>
      <w:r w:rsidRPr="007F3109">
        <w:rPr>
          <w:rFonts w:ascii="Times New Roman" w:hAnsi="Times New Roman" w:cs="Times New Roman"/>
          <w:sz w:val="22"/>
          <w:szCs w:val="28"/>
        </w:rPr>
        <w:t xml:space="preserve"> were measured. Biomass of group inoculated with 11Y061 isolated from </w:t>
      </w:r>
      <w:proofErr w:type="spellStart"/>
      <w:r w:rsidRPr="007F3109">
        <w:rPr>
          <w:rFonts w:ascii="Times New Roman" w:hAnsi="Times New Roman" w:cs="Times New Roman"/>
          <w:i/>
          <w:iCs/>
          <w:sz w:val="22"/>
          <w:szCs w:val="28"/>
        </w:rPr>
        <w:t>Neolindleya</w:t>
      </w:r>
      <w:proofErr w:type="spellEnd"/>
      <w:r w:rsidRPr="007F3109">
        <w:rPr>
          <w:rFonts w:ascii="Times New Roman" w:hAnsi="Times New Roman" w:cs="Times New Roman"/>
          <w:i/>
          <w:iCs/>
          <w:sz w:val="22"/>
          <w:szCs w:val="28"/>
        </w:rPr>
        <w:t xml:space="preserve"> camtschatica</w:t>
      </w:r>
      <w:r w:rsidRPr="007F3109">
        <w:rPr>
          <w:rFonts w:ascii="Times New Roman" w:hAnsi="Times New Roman" w:cs="Times New Roman"/>
          <w:sz w:val="22"/>
          <w:szCs w:val="28"/>
        </w:rPr>
        <w:t xml:space="preserve"> was heaviest. Dry weight was the heaviest when </w:t>
      </w:r>
      <w:r w:rsidRPr="007F3109">
        <w:rPr>
          <w:rFonts w:ascii="Times New Roman" w:hAnsi="Times New Roman" w:cs="Times New Roman"/>
          <w:i/>
          <w:iCs/>
          <w:sz w:val="22"/>
          <w:szCs w:val="28"/>
        </w:rPr>
        <w:t xml:space="preserve">C. </w:t>
      </w:r>
      <w:proofErr w:type="spellStart"/>
      <w:r w:rsidRPr="007F3109">
        <w:rPr>
          <w:rFonts w:ascii="Times New Roman" w:hAnsi="Times New Roman" w:cs="Times New Roman"/>
          <w:i/>
          <w:iCs/>
          <w:sz w:val="22"/>
          <w:szCs w:val="28"/>
        </w:rPr>
        <w:t>kanran</w:t>
      </w:r>
      <w:proofErr w:type="spellEnd"/>
      <w:r w:rsidRPr="007F3109">
        <w:rPr>
          <w:rFonts w:ascii="Times New Roman" w:hAnsi="Times New Roman" w:cs="Times New Roman"/>
          <w:sz w:val="22"/>
          <w:szCs w:val="28"/>
        </w:rPr>
        <w:t xml:space="preserve"> were inoculated with 12O040 isolated from </w:t>
      </w:r>
      <w:proofErr w:type="spellStart"/>
      <w:r w:rsidRPr="007F3109">
        <w:rPr>
          <w:rFonts w:ascii="Times New Roman" w:hAnsi="Times New Roman" w:cs="Times New Roman"/>
          <w:i/>
          <w:iCs/>
          <w:sz w:val="22"/>
          <w:szCs w:val="28"/>
        </w:rPr>
        <w:t>Goodyera</w:t>
      </w:r>
      <w:proofErr w:type="spellEnd"/>
      <w:r w:rsidRPr="007F3109">
        <w:rPr>
          <w:rFonts w:ascii="Times New Roman" w:hAnsi="Times New Roman" w:cs="Times New Roman"/>
          <w:i/>
          <w:iCs/>
          <w:sz w:val="22"/>
          <w:szCs w:val="28"/>
        </w:rPr>
        <w:t xml:space="preserve"> </w:t>
      </w:r>
      <w:proofErr w:type="spellStart"/>
      <w:r w:rsidRPr="007F3109">
        <w:rPr>
          <w:rFonts w:ascii="Times New Roman" w:hAnsi="Times New Roman" w:cs="Times New Roman"/>
          <w:i/>
          <w:iCs/>
          <w:sz w:val="22"/>
          <w:szCs w:val="28"/>
        </w:rPr>
        <w:t>schlechtendaliana</w:t>
      </w:r>
      <w:proofErr w:type="spellEnd"/>
      <w:r w:rsidRPr="007F3109">
        <w:rPr>
          <w:rFonts w:ascii="Times New Roman" w:hAnsi="Times New Roman" w:cs="Times New Roman"/>
          <w:sz w:val="22"/>
          <w:szCs w:val="28"/>
        </w:rPr>
        <w:t xml:space="preserve">. Infection rate was highest in a group inoculated with 11Y040 isolated from </w:t>
      </w:r>
      <w:proofErr w:type="spellStart"/>
      <w:r w:rsidRPr="007F3109">
        <w:rPr>
          <w:rFonts w:ascii="Times New Roman" w:hAnsi="Times New Roman" w:cs="Times New Roman"/>
          <w:i/>
          <w:iCs/>
          <w:sz w:val="22"/>
          <w:szCs w:val="28"/>
        </w:rPr>
        <w:t>Cremastra</w:t>
      </w:r>
      <w:proofErr w:type="spellEnd"/>
      <w:r w:rsidRPr="007F3109">
        <w:rPr>
          <w:rFonts w:ascii="Times New Roman" w:hAnsi="Times New Roman" w:cs="Times New Roman"/>
          <w:i/>
          <w:iCs/>
          <w:sz w:val="22"/>
          <w:szCs w:val="28"/>
        </w:rPr>
        <w:t xml:space="preserve"> variabilis</w:t>
      </w:r>
      <w:r w:rsidRPr="007F3109">
        <w:rPr>
          <w:rFonts w:ascii="Times New Roman" w:hAnsi="Times New Roman" w:cs="Times New Roman"/>
          <w:sz w:val="22"/>
          <w:szCs w:val="28"/>
        </w:rPr>
        <w:t>.</w:t>
      </w:r>
    </w:p>
    <w:p w14:paraId="686A1A85" w14:textId="0FC641AC" w:rsidR="001165B5" w:rsidRDefault="001165B5">
      <w:pPr>
        <w:widowControl/>
        <w:wordWrap/>
        <w:autoSpaceDE/>
        <w:autoSpaceDN/>
        <w:rPr>
          <w:rFonts w:ascii="Times New Roman" w:hAnsi="Times New Roman" w:cs="Times New Roman" w:hint="eastAsia"/>
          <w:sz w:val="22"/>
          <w:szCs w:val="28"/>
        </w:rPr>
      </w:pPr>
      <w:r>
        <w:rPr>
          <w:rFonts w:ascii="Times New Roman" w:hAnsi="Times New Roman" w:cs="Times New Roman"/>
          <w:sz w:val="22"/>
          <w:szCs w:val="28"/>
        </w:rPr>
        <w:br w:type="page"/>
      </w:r>
    </w:p>
    <w:p w14:paraId="78004510" w14:textId="77777777" w:rsidR="001165B5" w:rsidRPr="001165B5" w:rsidRDefault="001165B5" w:rsidP="001165B5">
      <w:pPr>
        <w:spacing w:line="360" w:lineRule="auto"/>
        <w:rPr>
          <w:rFonts w:asciiTheme="minorEastAsia" w:hAnsiTheme="minorEastAsia" w:cs="Times New Roman"/>
          <w:b/>
          <w:bCs/>
          <w:color w:val="221679"/>
          <w:sz w:val="24"/>
          <w:szCs w:val="32"/>
        </w:rPr>
      </w:pPr>
      <w:r w:rsidRPr="001165B5">
        <w:rPr>
          <w:rFonts w:asciiTheme="minorEastAsia" w:hAnsiTheme="minorEastAsia" w:cs="Times New Roman"/>
          <w:b/>
          <w:bCs/>
          <w:color w:val="221679"/>
          <w:sz w:val="24"/>
          <w:szCs w:val="32"/>
        </w:rPr>
        <w:lastRenderedPageBreak/>
        <w:t>Guideline for Posters</w:t>
      </w:r>
    </w:p>
    <w:p w14:paraId="3D667D02" w14:textId="77777777" w:rsidR="001165B5" w:rsidRPr="001165B5" w:rsidRDefault="001165B5" w:rsidP="001165B5">
      <w:pPr>
        <w:spacing w:line="360" w:lineRule="auto"/>
        <w:rPr>
          <w:rFonts w:ascii="Times New Roman" w:hAnsi="Times New Roman" w:cs="Times New Roman"/>
          <w:sz w:val="22"/>
          <w:szCs w:val="28"/>
        </w:rPr>
      </w:pPr>
    </w:p>
    <w:p w14:paraId="1FD69BDB" w14:textId="1DB1946B" w:rsidR="001165B5" w:rsidRPr="001165B5" w:rsidRDefault="001165B5" w:rsidP="001165B5">
      <w:pPr>
        <w:spacing w:line="360" w:lineRule="auto"/>
        <w:jc w:val="center"/>
        <w:rPr>
          <w:rFonts w:ascii="Times New Roman" w:hAnsi="Times New Roman" w:cs="Times New Roman"/>
          <w:sz w:val="22"/>
          <w:szCs w:val="28"/>
        </w:rPr>
      </w:pPr>
      <w:r>
        <w:rPr>
          <w:rFonts w:ascii="Times New Roman" w:eastAsia="Times New Roman" w:hAnsi="Times New Roman" w:cs="Times New Roman"/>
          <w:noProof/>
          <w:szCs w:val="20"/>
        </w:rPr>
        <w:drawing>
          <wp:inline distT="0" distB="0" distL="0" distR="0" wp14:anchorId="40978392" wp14:editId="0F9F4272">
            <wp:extent cx="3343656" cy="3657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343656" cy="3657600"/>
                    </a:xfrm>
                    <a:prstGeom prst="rect">
                      <a:avLst/>
                    </a:prstGeom>
                  </pic:spPr>
                </pic:pic>
              </a:graphicData>
            </a:graphic>
          </wp:inline>
        </w:drawing>
      </w:r>
    </w:p>
    <w:p w14:paraId="52EDB2AF" w14:textId="2BA0A776" w:rsidR="001165B5" w:rsidRPr="001165B5" w:rsidRDefault="001165B5" w:rsidP="001165B5">
      <w:pPr>
        <w:spacing w:line="360" w:lineRule="auto"/>
        <w:rPr>
          <w:rFonts w:ascii="Times New Roman" w:hAnsi="Times New Roman" w:cs="Times New Roman"/>
          <w:sz w:val="22"/>
          <w:szCs w:val="28"/>
        </w:rPr>
      </w:pPr>
      <w:r w:rsidRPr="001165B5">
        <w:rPr>
          <w:rFonts w:ascii="Times New Roman" w:hAnsi="Times New Roman" w:cs="Times New Roman"/>
          <w:sz w:val="22"/>
          <w:szCs w:val="28"/>
        </w:rPr>
        <w:t xml:space="preserve"> </w:t>
      </w:r>
    </w:p>
    <w:p w14:paraId="03ECD399" w14:textId="77777777" w:rsidR="001165B5" w:rsidRPr="001165B5" w:rsidRDefault="001165B5" w:rsidP="001165B5">
      <w:pPr>
        <w:spacing w:line="360" w:lineRule="auto"/>
        <w:rPr>
          <w:rFonts w:asciiTheme="minorEastAsia" w:hAnsiTheme="minorEastAsia" w:cs="Times New Roman"/>
          <w:sz w:val="22"/>
          <w:szCs w:val="28"/>
        </w:rPr>
      </w:pPr>
      <w:r w:rsidRPr="001165B5">
        <w:rPr>
          <w:rFonts w:asciiTheme="minorEastAsia" w:hAnsiTheme="minorEastAsia" w:cs="Times New Roman"/>
          <w:sz w:val="22"/>
          <w:szCs w:val="28"/>
        </w:rPr>
        <w:t>* There are no limits for character size and fonts in the posters.</w:t>
      </w:r>
    </w:p>
    <w:p w14:paraId="782F821C" w14:textId="2F7E36E7" w:rsidR="001165B5" w:rsidRPr="001165B5" w:rsidRDefault="001165B5" w:rsidP="001165B5">
      <w:pPr>
        <w:spacing w:line="360" w:lineRule="auto"/>
        <w:rPr>
          <w:rFonts w:asciiTheme="minorEastAsia" w:hAnsiTheme="minorEastAsia" w:cs="Times New Roman"/>
          <w:sz w:val="22"/>
          <w:szCs w:val="28"/>
        </w:rPr>
      </w:pPr>
      <w:r w:rsidRPr="001165B5">
        <w:rPr>
          <w:rFonts w:asciiTheme="minorEastAsia" w:hAnsiTheme="minorEastAsia" w:cs="Times New Roman"/>
          <w:sz w:val="22"/>
          <w:szCs w:val="28"/>
        </w:rPr>
        <w:t>* Poster Sizes: width 90cm × height 180cm</w:t>
      </w:r>
    </w:p>
    <w:sectPr w:rsidR="001165B5" w:rsidRPr="001165B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632B"/>
    <w:multiLevelType w:val="hybridMultilevel"/>
    <w:tmpl w:val="75EA2C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70864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09"/>
    <w:rsid w:val="001165B5"/>
    <w:rsid w:val="0028143B"/>
    <w:rsid w:val="00452EDB"/>
    <w:rsid w:val="007F3109"/>
    <w:rsid w:val="00F50E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E01F"/>
  <w15:chartTrackingRefBased/>
  <w15:docId w15:val="{C7447645-B19D-494D-AE0A-ECBC2C25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5B5"/>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 근철</dc:creator>
  <cp:keywords/>
  <dc:description/>
  <cp:lastModifiedBy>박 근철</cp:lastModifiedBy>
  <cp:revision>2</cp:revision>
  <dcterms:created xsi:type="dcterms:W3CDTF">2023-03-23T06:37:00Z</dcterms:created>
  <dcterms:modified xsi:type="dcterms:W3CDTF">2023-03-23T06:37:00Z</dcterms:modified>
</cp:coreProperties>
</file>